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29" w:rsidRPr="006D0202" w:rsidRDefault="00554729" w:rsidP="00554729">
      <w:pPr>
        <w:pStyle w:val="p0"/>
        <w:rPr>
          <w:rFonts w:ascii="宋体" w:hAnsi="宋体" w:hint="eastAsia"/>
          <w:color w:val="000000"/>
          <w:sz w:val="28"/>
          <w:szCs w:val="28"/>
        </w:rPr>
      </w:pPr>
      <w:r w:rsidRPr="006D0202">
        <w:rPr>
          <w:rFonts w:ascii="宋体" w:hAnsi="宋体" w:hint="eastAsia"/>
          <w:color w:val="000000"/>
          <w:sz w:val="28"/>
          <w:szCs w:val="28"/>
        </w:rPr>
        <w:t>附件</w:t>
      </w:r>
      <w:r w:rsidR="00AD59AA" w:rsidRPr="006D0202">
        <w:rPr>
          <w:rFonts w:ascii="宋体" w:hAnsi="宋体" w:hint="eastAsia"/>
          <w:color w:val="000000"/>
          <w:sz w:val="28"/>
          <w:szCs w:val="28"/>
        </w:rPr>
        <w:t>1</w:t>
      </w:r>
    </w:p>
    <w:p w:rsidR="00C33BCF" w:rsidRPr="006D0202" w:rsidRDefault="00C33BCF" w:rsidP="00554729">
      <w:pPr>
        <w:pStyle w:val="p0"/>
        <w:rPr>
          <w:rFonts w:ascii="宋体" w:hAnsi="宋体" w:hint="eastAsia"/>
          <w:color w:val="000000"/>
          <w:sz w:val="28"/>
          <w:szCs w:val="28"/>
        </w:rPr>
      </w:pPr>
    </w:p>
    <w:p w:rsidR="00090AB6" w:rsidRPr="006D0202" w:rsidRDefault="00090AB6">
      <w:pPr>
        <w:pStyle w:val="p0"/>
        <w:jc w:val="center"/>
        <w:rPr>
          <w:rFonts w:ascii="黑体" w:eastAsia="黑体"/>
          <w:b/>
          <w:color w:val="000000"/>
          <w:sz w:val="36"/>
          <w:szCs w:val="36"/>
        </w:rPr>
      </w:pPr>
      <w:r w:rsidRPr="006D0202">
        <w:rPr>
          <w:rFonts w:ascii="宋体" w:hAnsi="宋体" w:hint="eastAsia"/>
          <w:b/>
          <w:color w:val="000000"/>
          <w:sz w:val="44"/>
          <w:szCs w:val="44"/>
        </w:rPr>
        <w:t>江苏省建筑业“双百强”企业评价办法</w:t>
      </w:r>
    </w:p>
    <w:p w:rsidR="00090AB6" w:rsidRPr="006D0202" w:rsidRDefault="00090AB6">
      <w:pPr>
        <w:widowControl/>
        <w:spacing w:after="156" w:line="500" w:lineRule="exact"/>
        <w:jc w:val="center"/>
        <w:rPr>
          <w:rFonts w:ascii="楷体_GB2312" w:eastAsia="楷体_GB2312" w:hAnsi="方正黑体简体" w:hint="eastAsia"/>
          <w:b/>
          <w:color w:val="000000"/>
          <w:kern w:val="0"/>
          <w:sz w:val="18"/>
          <w:szCs w:val="18"/>
        </w:rPr>
      </w:pPr>
    </w:p>
    <w:p w:rsidR="00090AB6" w:rsidRPr="006D0202" w:rsidRDefault="00090AB6">
      <w:pPr>
        <w:widowControl/>
        <w:spacing w:after="156" w:line="500" w:lineRule="exact"/>
        <w:jc w:val="center"/>
        <w:rPr>
          <w:rFonts w:ascii="楷体_GB2312" w:eastAsia="楷体_GB2312" w:hAnsi="方正黑体简体" w:hint="eastAsia"/>
          <w:b/>
          <w:color w:val="000000"/>
          <w:kern w:val="0"/>
          <w:sz w:val="28"/>
          <w:szCs w:val="28"/>
        </w:rPr>
      </w:pPr>
      <w:r w:rsidRPr="006D0202">
        <w:rPr>
          <w:rFonts w:ascii="楷体_GB2312" w:eastAsia="楷体_GB2312" w:hAnsi="方正黑体简体" w:hint="eastAsia"/>
          <w:b/>
          <w:color w:val="000000"/>
          <w:kern w:val="0"/>
          <w:sz w:val="28"/>
          <w:szCs w:val="28"/>
        </w:rPr>
        <w:t>第一章  总  则</w:t>
      </w:r>
    </w:p>
    <w:p w:rsidR="00090AB6" w:rsidRPr="006D0202" w:rsidRDefault="00090AB6">
      <w:pPr>
        <w:widowControl/>
        <w:ind w:firstLine="640"/>
        <w:jc w:val="left"/>
        <w:rPr>
          <w:rFonts w:ascii="楷体_GB2312" w:eastAsia="楷体_GB2312" w:hint="eastAsia"/>
          <w:color w:val="000000"/>
          <w:kern w:val="0"/>
          <w:sz w:val="32"/>
          <w:szCs w:val="32"/>
        </w:rPr>
      </w:pPr>
      <w:r w:rsidRPr="006D0202">
        <w:rPr>
          <w:rFonts w:ascii="楷体_GB2312" w:eastAsia="楷体_GB2312" w:hAnsi="方正黑体简体" w:hint="eastAsia"/>
          <w:color w:val="000000"/>
          <w:kern w:val="0"/>
          <w:sz w:val="32"/>
          <w:szCs w:val="32"/>
        </w:rPr>
        <w:t>第一条</w:t>
      </w:r>
      <w:r w:rsidRPr="006D0202">
        <w:rPr>
          <w:rFonts w:ascii="楷体_GB2312" w:eastAsia="楷体_GB2312" w:hint="eastAsia"/>
          <w:color w:val="000000"/>
          <w:kern w:val="0"/>
          <w:sz w:val="32"/>
          <w:szCs w:val="32"/>
        </w:rPr>
        <w:t xml:space="preserve">  为激励引导全省建筑施工企业加快转型升级，不断</w:t>
      </w:r>
      <w:r w:rsidR="00D515E1" w:rsidRPr="006D0202">
        <w:rPr>
          <w:rFonts w:ascii="楷体_GB2312" w:eastAsia="楷体_GB2312" w:hint="eastAsia"/>
          <w:color w:val="000000"/>
          <w:kern w:val="0"/>
          <w:sz w:val="32"/>
          <w:szCs w:val="32"/>
        </w:rPr>
        <w:t>做大做强、做精</w:t>
      </w:r>
      <w:r w:rsidRPr="006D0202">
        <w:rPr>
          <w:rFonts w:ascii="楷体_GB2312" w:eastAsia="楷体_GB2312" w:hint="eastAsia"/>
          <w:color w:val="000000"/>
          <w:kern w:val="0"/>
          <w:sz w:val="32"/>
          <w:szCs w:val="32"/>
        </w:rPr>
        <w:t>做优，</w:t>
      </w:r>
      <w:r w:rsidR="00D43CFB" w:rsidRPr="006D0202">
        <w:rPr>
          <w:rFonts w:ascii="楷体_GB2312" w:eastAsia="楷体_GB2312" w:hint="eastAsia"/>
          <w:color w:val="000000"/>
          <w:kern w:val="0"/>
          <w:sz w:val="32"/>
          <w:szCs w:val="32"/>
        </w:rPr>
        <w:t>转向高质量发展，</w:t>
      </w:r>
      <w:r w:rsidRPr="006D0202">
        <w:rPr>
          <w:rFonts w:ascii="楷体_GB2312" w:eastAsia="楷体_GB2312" w:hint="eastAsia"/>
          <w:color w:val="000000"/>
          <w:kern w:val="0"/>
          <w:sz w:val="32"/>
          <w:szCs w:val="32"/>
        </w:rPr>
        <w:t>同时展示良好</w:t>
      </w:r>
      <w:r w:rsidR="00D515E1" w:rsidRPr="006D0202">
        <w:rPr>
          <w:rFonts w:ascii="楷体_GB2312" w:eastAsia="楷体_GB2312" w:hint="eastAsia"/>
          <w:color w:val="000000"/>
          <w:kern w:val="0"/>
          <w:sz w:val="32"/>
          <w:szCs w:val="32"/>
        </w:rPr>
        <w:t>品牌和</w:t>
      </w:r>
      <w:r w:rsidRPr="006D0202">
        <w:rPr>
          <w:rFonts w:ascii="楷体_GB2312" w:eastAsia="楷体_GB2312" w:hint="eastAsia"/>
          <w:color w:val="000000"/>
          <w:kern w:val="0"/>
          <w:sz w:val="32"/>
          <w:szCs w:val="32"/>
        </w:rPr>
        <w:t>社会形象，江苏省建筑行业协会决定开展江苏省建筑业“双百强”企业评价工作（包括：江苏省建筑业竞争力百强企业评价，简称竞争力百强</w:t>
      </w:r>
      <w:r w:rsidR="00436632" w:rsidRPr="006D0202">
        <w:rPr>
          <w:rFonts w:ascii="楷体_GB2312" w:eastAsia="楷体_GB2312" w:hint="eastAsia"/>
          <w:color w:val="000000"/>
          <w:kern w:val="0"/>
          <w:sz w:val="32"/>
          <w:szCs w:val="32"/>
        </w:rPr>
        <w:t>企业</w:t>
      </w:r>
      <w:r w:rsidRPr="006D0202">
        <w:rPr>
          <w:rFonts w:ascii="楷体_GB2312" w:eastAsia="楷体_GB2312" w:hint="eastAsia"/>
          <w:color w:val="000000"/>
          <w:kern w:val="0"/>
          <w:sz w:val="32"/>
          <w:szCs w:val="32"/>
        </w:rPr>
        <w:t>评价；江苏省建筑业最具成长性百强企业评价，简称成长性百强企业评价）。为此，特制定本办法。</w:t>
      </w:r>
    </w:p>
    <w:p w:rsidR="00090AB6" w:rsidRPr="006D0202" w:rsidRDefault="00090AB6">
      <w:pPr>
        <w:widowControl/>
        <w:ind w:firstLine="640"/>
        <w:jc w:val="left"/>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第二条  “双百强”</w:t>
      </w:r>
      <w:r w:rsidR="00D515E1" w:rsidRPr="006D0202">
        <w:rPr>
          <w:rFonts w:ascii="楷体_GB2312" w:eastAsia="楷体_GB2312" w:hint="eastAsia"/>
          <w:color w:val="000000"/>
          <w:kern w:val="0"/>
          <w:sz w:val="32"/>
          <w:szCs w:val="32"/>
        </w:rPr>
        <w:t>企业</w:t>
      </w:r>
      <w:r w:rsidRPr="006D0202">
        <w:rPr>
          <w:rFonts w:ascii="楷体_GB2312" w:eastAsia="楷体_GB2312" w:hint="eastAsia"/>
          <w:color w:val="000000"/>
          <w:kern w:val="0"/>
          <w:sz w:val="32"/>
          <w:szCs w:val="32"/>
        </w:rPr>
        <w:t>评价工作由江苏省建筑行业协会</w:t>
      </w:r>
      <w:r w:rsidR="00D9751F">
        <w:rPr>
          <w:rFonts w:ascii="楷体_GB2312" w:eastAsia="楷体_GB2312" w:hint="eastAsia"/>
          <w:color w:val="000000"/>
          <w:kern w:val="0"/>
          <w:sz w:val="32"/>
          <w:szCs w:val="32"/>
        </w:rPr>
        <w:t>“双百强”企业评价</w:t>
      </w:r>
      <w:r w:rsidR="00C72E55" w:rsidRPr="006D0202">
        <w:rPr>
          <w:rFonts w:ascii="楷体_GB2312" w:eastAsia="楷体_GB2312" w:hint="eastAsia"/>
          <w:color w:val="000000"/>
          <w:kern w:val="0"/>
          <w:sz w:val="32"/>
          <w:szCs w:val="32"/>
        </w:rPr>
        <w:t>委员会</w:t>
      </w:r>
      <w:r w:rsidRPr="006D0202">
        <w:rPr>
          <w:rFonts w:ascii="楷体_GB2312" w:eastAsia="楷体_GB2312" w:hint="eastAsia"/>
          <w:color w:val="000000"/>
          <w:kern w:val="0"/>
          <w:sz w:val="32"/>
          <w:szCs w:val="32"/>
        </w:rPr>
        <w:t>组织实施。</w:t>
      </w:r>
    </w:p>
    <w:p w:rsidR="00090AB6" w:rsidRPr="006D0202" w:rsidRDefault="00090AB6">
      <w:pPr>
        <w:widowControl/>
        <w:ind w:firstLine="640"/>
        <w:jc w:val="left"/>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第三条  评价工作本着注重实绩、对企业负责、对社会负责的精神，坚持 “客观、公开、公平、公正”，并努力提高评价工作的社会关注度、公信度</w:t>
      </w:r>
      <w:r w:rsidR="00D515E1" w:rsidRPr="006D0202">
        <w:rPr>
          <w:rFonts w:ascii="楷体_GB2312" w:eastAsia="楷体_GB2312" w:hint="eastAsia"/>
          <w:color w:val="000000"/>
          <w:kern w:val="0"/>
          <w:sz w:val="32"/>
          <w:szCs w:val="32"/>
        </w:rPr>
        <w:t>和认可</w:t>
      </w:r>
      <w:r w:rsidRPr="006D0202">
        <w:rPr>
          <w:rFonts w:ascii="楷体_GB2312" w:eastAsia="楷体_GB2312" w:hint="eastAsia"/>
          <w:color w:val="000000"/>
          <w:kern w:val="0"/>
          <w:sz w:val="32"/>
          <w:szCs w:val="32"/>
        </w:rPr>
        <w:t>度。</w:t>
      </w:r>
    </w:p>
    <w:p w:rsidR="00090AB6" w:rsidRPr="006D0202" w:rsidRDefault="00090AB6">
      <w:pPr>
        <w:widowControl/>
        <w:ind w:firstLine="640"/>
        <w:jc w:val="left"/>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第四条  江苏省建筑业“双百强”企业每</w:t>
      </w:r>
      <w:r w:rsidR="00F166A2">
        <w:rPr>
          <w:rFonts w:ascii="楷体_GB2312" w:eastAsia="楷体_GB2312" w:hint="eastAsia"/>
          <w:color w:val="000000"/>
          <w:kern w:val="0"/>
          <w:sz w:val="32"/>
          <w:szCs w:val="32"/>
        </w:rPr>
        <w:t>年</w:t>
      </w:r>
      <w:r w:rsidR="00D515E1" w:rsidRPr="006D0202">
        <w:rPr>
          <w:rFonts w:ascii="楷体_GB2312" w:eastAsia="楷体_GB2312" w:hint="eastAsia"/>
          <w:color w:val="000000"/>
          <w:kern w:val="0"/>
          <w:sz w:val="32"/>
          <w:szCs w:val="32"/>
        </w:rPr>
        <w:t>度</w:t>
      </w:r>
      <w:r w:rsidRPr="006D0202">
        <w:rPr>
          <w:rFonts w:ascii="楷体_GB2312" w:eastAsia="楷体_GB2312" w:hint="eastAsia"/>
          <w:color w:val="000000"/>
          <w:kern w:val="0"/>
          <w:sz w:val="32"/>
          <w:szCs w:val="32"/>
        </w:rPr>
        <w:t>评价一次，各取100家，并按数据排出名次。</w:t>
      </w:r>
    </w:p>
    <w:p w:rsidR="00090AB6" w:rsidRPr="006D0202" w:rsidRDefault="00090AB6">
      <w:pPr>
        <w:widowControl/>
        <w:spacing w:before="156" w:after="156"/>
        <w:jc w:val="center"/>
        <w:rPr>
          <w:rFonts w:ascii="楷体_GB2312" w:eastAsia="楷体_GB2312" w:hAnsi="方正黑体简体" w:hint="eastAsia"/>
          <w:b/>
          <w:color w:val="000000"/>
          <w:kern w:val="0"/>
          <w:sz w:val="32"/>
          <w:szCs w:val="32"/>
        </w:rPr>
      </w:pPr>
      <w:r w:rsidRPr="006D0202">
        <w:rPr>
          <w:rFonts w:ascii="楷体_GB2312" w:eastAsia="楷体_GB2312" w:hAnsi="方正黑体简体" w:hint="eastAsia"/>
          <w:b/>
          <w:color w:val="000000"/>
          <w:kern w:val="0"/>
          <w:sz w:val="32"/>
          <w:szCs w:val="32"/>
        </w:rPr>
        <w:t>第二章  评价范围</w:t>
      </w:r>
    </w:p>
    <w:p w:rsidR="00090AB6" w:rsidRPr="006D0202" w:rsidRDefault="00090AB6">
      <w:pPr>
        <w:widowControl/>
        <w:ind w:firstLine="640"/>
        <w:rPr>
          <w:rFonts w:ascii="楷体_GB2312" w:eastAsia="楷体_GB2312" w:hint="eastAsia"/>
          <w:color w:val="000000"/>
          <w:kern w:val="0"/>
          <w:sz w:val="32"/>
          <w:szCs w:val="32"/>
        </w:rPr>
      </w:pPr>
      <w:r w:rsidRPr="006D0202">
        <w:rPr>
          <w:rFonts w:ascii="楷体_GB2312" w:eastAsia="楷体_GB2312" w:hAnsi="方正黑体简体" w:hint="eastAsia"/>
          <w:color w:val="000000"/>
          <w:kern w:val="0"/>
          <w:sz w:val="32"/>
          <w:szCs w:val="32"/>
        </w:rPr>
        <w:t>第五条</w:t>
      </w:r>
      <w:r w:rsidRPr="006D0202">
        <w:rPr>
          <w:rFonts w:ascii="楷体_GB2312" w:eastAsia="楷体_GB2312" w:hint="eastAsia"/>
          <w:color w:val="000000"/>
          <w:kern w:val="0"/>
          <w:sz w:val="32"/>
          <w:szCs w:val="32"/>
        </w:rPr>
        <w:t xml:space="preserve">  </w:t>
      </w:r>
      <w:r w:rsidR="00D515E1" w:rsidRPr="006D0202">
        <w:rPr>
          <w:rFonts w:ascii="楷体_GB2312" w:eastAsia="楷体_GB2312" w:hint="eastAsia"/>
          <w:color w:val="000000"/>
          <w:kern w:val="0"/>
          <w:sz w:val="32"/>
          <w:szCs w:val="32"/>
        </w:rPr>
        <w:t>凡</w:t>
      </w:r>
      <w:r w:rsidR="002B1097" w:rsidRPr="006D0202">
        <w:rPr>
          <w:rFonts w:ascii="楷体_GB2312" w:eastAsia="楷体_GB2312" w:hint="eastAsia"/>
          <w:color w:val="000000"/>
          <w:kern w:val="0"/>
          <w:sz w:val="32"/>
          <w:szCs w:val="32"/>
        </w:rPr>
        <w:t>注册地在</w:t>
      </w:r>
      <w:r w:rsidR="00D515E1" w:rsidRPr="006D0202">
        <w:rPr>
          <w:rFonts w:ascii="楷体_GB2312" w:eastAsia="楷体_GB2312" w:hint="eastAsia"/>
          <w:color w:val="000000"/>
          <w:kern w:val="0"/>
          <w:sz w:val="32"/>
          <w:szCs w:val="32"/>
        </w:rPr>
        <w:t>江苏</w:t>
      </w:r>
      <w:r w:rsidR="002B1097" w:rsidRPr="006D0202">
        <w:rPr>
          <w:rFonts w:ascii="楷体_GB2312" w:eastAsia="楷体_GB2312" w:hint="eastAsia"/>
          <w:color w:val="000000"/>
          <w:kern w:val="0"/>
          <w:sz w:val="32"/>
          <w:szCs w:val="32"/>
        </w:rPr>
        <w:t>且</w:t>
      </w:r>
      <w:r w:rsidRPr="006D0202">
        <w:rPr>
          <w:rFonts w:ascii="楷体_GB2312" w:eastAsia="楷体_GB2312" w:hint="eastAsia"/>
          <w:color w:val="000000"/>
          <w:kern w:val="0"/>
          <w:sz w:val="32"/>
          <w:szCs w:val="32"/>
        </w:rPr>
        <w:t>具有独立法人资格，并取得建设主管部门颁发的</w:t>
      </w:r>
      <w:r w:rsidR="002B1097" w:rsidRPr="006D0202">
        <w:rPr>
          <w:rFonts w:ascii="楷体_GB2312" w:eastAsia="楷体_GB2312" w:hint="eastAsia"/>
          <w:color w:val="000000"/>
          <w:kern w:val="0"/>
          <w:sz w:val="32"/>
          <w:szCs w:val="32"/>
        </w:rPr>
        <w:t>二级以上施工资质的</w:t>
      </w:r>
      <w:r w:rsidR="00D515E1" w:rsidRPr="006D0202">
        <w:rPr>
          <w:rFonts w:ascii="楷体_GB2312" w:eastAsia="楷体_GB2312" w:hint="eastAsia"/>
          <w:color w:val="000000"/>
          <w:kern w:val="0"/>
          <w:sz w:val="32"/>
          <w:szCs w:val="32"/>
        </w:rPr>
        <w:t>本</w:t>
      </w:r>
      <w:r w:rsidR="002B1097" w:rsidRPr="006D0202">
        <w:rPr>
          <w:rFonts w:ascii="楷体_GB2312" w:eastAsia="楷体_GB2312" w:hint="eastAsia"/>
          <w:color w:val="000000"/>
          <w:kern w:val="0"/>
          <w:sz w:val="32"/>
          <w:szCs w:val="32"/>
        </w:rPr>
        <w:t>会</w:t>
      </w:r>
      <w:r w:rsidRPr="006D0202">
        <w:rPr>
          <w:rFonts w:ascii="楷体_GB2312" w:eastAsia="楷体_GB2312" w:hint="eastAsia"/>
          <w:color w:val="000000"/>
          <w:kern w:val="0"/>
          <w:sz w:val="32"/>
          <w:szCs w:val="32"/>
        </w:rPr>
        <w:t>会员企业，均可</w:t>
      </w:r>
      <w:r w:rsidR="002B1097" w:rsidRPr="006D0202">
        <w:rPr>
          <w:rFonts w:ascii="楷体_GB2312" w:eastAsia="楷体_GB2312" w:hint="eastAsia"/>
          <w:color w:val="000000"/>
          <w:kern w:val="0"/>
          <w:sz w:val="32"/>
          <w:szCs w:val="32"/>
        </w:rPr>
        <w:t>自愿</w:t>
      </w:r>
      <w:r w:rsidRPr="006D0202">
        <w:rPr>
          <w:rFonts w:ascii="楷体_GB2312" w:eastAsia="楷体_GB2312" w:hint="eastAsia"/>
          <w:color w:val="000000"/>
          <w:kern w:val="0"/>
          <w:sz w:val="32"/>
          <w:szCs w:val="32"/>
        </w:rPr>
        <w:t>申报参评江苏省建筑业“双百强”企业。其中具有特级和一级</w:t>
      </w:r>
      <w:r w:rsidRPr="006D0202">
        <w:rPr>
          <w:rFonts w:ascii="楷体_GB2312" w:eastAsia="楷体_GB2312" w:hint="eastAsia"/>
          <w:color w:val="000000"/>
          <w:kern w:val="0"/>
          <w:sz w:val="32"/>
          <w:szCs w:val="32"/>
        </w:rPr>
        <w:lastRenderedPageBreak/>
        <w:t>资质的企业可申报竞争力百强企业；具有一级、二级级资质的企业可申报成长性百强企业；特级资质企业不可申报成长性百强企业。</w:t>
      </w:r>
    </w:p>
    <w:p w:rsidR="00090AB6" w:rsidRPr="006D0202" w:rsidRDefault="00090AB6">
      <w:pPr>
        <w:widowControl/>
        <w:ind w:firstLine="640"/>
        <w:rPr>
          <w:rFonts w:ascii="楷体_GB2312" w:eastAsia="楷体_GB2312" w:hint="eastAsia"/>
          <w:color w:val="000000"/>
          <w:kern w:val="0"/>
          <w:sz w:val="32"/>
          <w:szCs w:val="32"/>
        </w:rPr>
      </w:pPr>
      <w:r w:rsidRPr="006D0202">
        <w:rPr>
          <w:rFonts w:ascii="楷体_GB2312" w:eastAsia="楷体_GB2312" w:hAnsi="方正黑体简体" w:hint="eastAsia"/>
          <w:color w:val="000000"/>
          <w:kern w:val="0"/>
          <w:sz w:val="32"/>
          <w:szCs w:val="32"/>
        </w:rPr>
        <w:t xml:space="preserve">第六条  </w:t>
      </w:r>
      <w:r w:rsidRPr="006D0202">
        <w:rPr>
          <w:rFonts w:ascii="楷体_GB2312" w:eastAsia="楷体_GB2312" w:hint="eastAsia"/>
          <w:color w:val="000000"/>
          <w:kern w:val="0"/>
          <w:sz w:val="32"/>
          <w:szCs w:val="32"/>
        </w:rPr>
        <w:t>以企业集团为单位参评的，其核心企业应以建筑业为主，报送数据可包括全资或控股子公司的数据，其下属的多层级建筑业企业不再单独参评。</w:t>
      </w:r>
    </w:p>
    <w:p w:rsidR="00090AB6" w:rsidRPr="006D0202" w:rsidRDefault="00090AB6">
      <w:pPr>
        <w:widowControl/>
        <w:ind w:firstLine="640"/>
        <w:rPr>
          <w:rFonts w:ascii="楷体_GB2312" w:eastAsia="楷体_GB2312" w:hint="eastAsia"/>
          <w:color w:val="000000"/>
          <w:kern w:val="0"/>
          <w:sz w:val="32"/>
          <w:szCs w:val="32"/>
        </w:rPr>
      </w:pPr>
      <w:r w:rsidRPr="006D0202">
        <w:rPr>
          <w:rFonts w:ascii="楷体_GB2312" w:eastAsia="楷体_GB2312" w:hAnsi="方正黑体简体" w:hint="eastAsia"/>
          <w:color w:val="000000"/>
          <w:kern w:val="0"/>
          <w:sz w:val="32"/>
          <w:szCs w:val="32"/>
        </w:rPr>
        <w:t xml:space="preserve">第七条  </w:t>
      </w:r>
      <w:r w:rsidR="00D515E1" w:rsidRPr="006D0202">
        <w:rPr>
          <w:rFonts w:ascii="楷体_GB2312" w:eastAsia="楷体_GB2312" w:hint="eastAsia"/>
          <w:color w:val="000000"/>
          <w:kern w:val="0"/>
          <w:sz w:val="32"/>
          <w:szCs w:val="32"/>
        </w:rPr>
        <w:t>同时申请参加竞争力</w:t>
      </w:r>
      <w:r w:rsidRPr="006D0202">
        <w:rPr>
          <w:rFonts w:ascii="楷体_GB2312" w:eastAsia="楷体_GB2312" w:hint="eastAsia"/>
          <w:color w:val="000000"/>
          <w:kern w:val="0"/>
          <w:sz w:val="32"/>
          <w:szCs w:val="32"/>
        </w:rPr>
        <w:t>和成长性百强评价的企业，需</w:t>
      </w:r>
      <w:r w:rsidR="00D515E1" w:rsidRPr="006D0202">
        <w:rPr>
          <w:rFonts w:ascii="楷体_GB2312" w:eastAsia="楷体_GB2312" w:hint="eastAsia"/>
          <w:color w:val="000000"/>
          <w:kern w:val="0"/>
          <w:sz w:val="32"/>
          <w:szCs w:val="32"/>
        </w:rPr>
        <w:t>分别</w:t>
      </w:r>
      <w:r w:rsidRPr="006D0202">
        <w:rPr>
          <w:rFonts w:ascii="楷体_GB2312" w:eastAsia="楷体_GB2312" w:hint="eastAsia"/>
          <w:color w:val="000000"/>
          <w:kern w:val="0"/>
          <w:sz w:val="32"/>
          <w:szCs w:val="32"/>
        </w:rPr>
        <w:t>报送竞争力百强和成长性百强申报资料。</w:t>
      </w:r>
    </w:p>
    <w:p w:rsidR="00090AB6" w:rsidRPr="006D0202" w:rsidRDefault="00090AB6">
      <w:pPr>
        <w:widowControl/>
        <w:spacing w:before="156" w:after="156"/>
        <w:jc w:val="center"/>
        <w:rPr>
          <w:rFonts w:ascii="楷体_GB2312" w:eastAsia="楷体_GB2312" w:hint="eastAsia"/>
          <w:b/>
          <w:bCs/>
          <w:color w:val="000000"/>
          <w:kern w:val="0"/>
          <w:sz w:val="32"/>
          <w:szCs w:val="32"/>
        </w:rPr>
      </w:pPr>
      <w:r w:rsidRPr="006D0202">
        <w:rPr>
          <w:rFonts w:ascii="楷体_GB2312" w:eastAsia="楷体_GB2312" w:hAnsi="方正黑体简体" w:hint="eastAsia"/>
          <w:b/>
          <w:color w:val="000000"/>
          <w:kern w:val="0"/>
          <w:sz w:val="32"/>
          <w:szCs w:val="32"/>
        </w:rPr>
        <w:t>第三章  评价指标和条件</w:t>
      </w:r>
    </w:p>
    <w:p w:rsidR="00090AB6" w:rsidRPr="006D0202" w:rsidRDefault="00090AB6">
      <w:pPr>
        <w:widowControl/>
        <w:ind w:firstLine="570"/>
        <w:rPr>
          <w:rFonts w:ascii="楷体_GB2312" w:eastAsia="楷体_GB2312" w:hint="eastAsia"/>
          <w:color w:val="000000"/>
          <w:kern w:val="0"/>
          <w:sz w:val="32"/>
          <w:szCs w:val="32"/>
        </w:rPr>
      </w:pPr>
      <w:r w:rsidRPr="006D0202">
        <w:rPr>
          <w:rFonts w:ascii="楷体_GB2312" w:eastAsia="楷体_GB2312" w:hAnsi="方正黑体简体" w:hint="eastAsia"/>
          <w:color w:val="000000"/>
          <w:kern w:val="0"/>
          <w:sz w:val="32"/>
          <w:szCs w:val="32"/>
        </w:rPr>
        <w:t xml:space="preserve"> 第八条</w:t>
      </w:r>
      <w:r w:rsidRPr="006D0202">
        <w:rPr>
          <w:rFonts w:ascii="楷体_GB2312" w:eastAsia="楷体_GB2312" w:hint="eastAsia"/>
          <w:color w:val="000000"/>
          <w:kern w:val="0"/>
          <w:sz w:val="32"/>
          <w:szCs w:val="32"/>
        </w:rPr>
        <w:t xml:space="preserve">  江苏省建筑业竞争力百强企业按竞争力指数总分值排名。竞争力指数评价共分经营规模、资产规模、盈利能力、上缴</w:t>
      </w:r>
      <w:r w:rsidR="00BD78FB" w:rsidRPr="006D0202">
        <w:rPr>
          <w:rFonts w:ascii="楷体_GB2312" w:eastAsia="楷体_GB2312" w:hint="eastAsia"/>
          <w:color w:val="000000"/>
          <w:kern w:val="0"/>
          <w:sz w:val="32"/>
          <w:szCs w:val="32"/>
        </w:rPr>
        <w:t>增值税</w:t>
      </w:r>
      <w:r w:rsidRPr="006D0202">
        <w:rPr>
          <w:rFonts w:ascii="楷体_GB2312" w:eastAsia="楷体_GB2312" w:hint="eastAsia"/>
          <w:color w:val="000000"/>
          <w:kern w:val="0"/>
          <w:sz w:val="32"/>
          <w:szCs w:val="32"/>
        </w:rPr>
        <w:t>、科技进步、管理水平、精神文明等</w:t>
      </w:r>
      <w:r w:rsidR="002B2762" w:rsidRPr="006D0202">
        <w:rPr>
          <w:rFonts w:ascii="楷体_GB2312" w:eastAsia="楷体_GB2312" w:hint="eastAsia"/>
          <w:color w:val="000000"/>
          <w:kern w:val="0"/>
          <w:sz w:val="32"/>
          <w:szCs w:val="32"/>
        </w:rPr>
        <w:t>7</w:t>
      </w:r>
      <w:r w:rsidR="002B1097" w:rsidRPr="006D0202">
        <w:rPr>
          <w:rFonts w:ascii="楷体_GB2312" w:eastAsia="楷体_GB2312" w:hint="eastAsia"/>
          <w:color w:val="000000"/>
          <w:kern w:val="0"/>
          <w:sz w:val="32"/>
          <w:szCs w:val="32"/>
        </w:rPr>
        <w:t>项分类指标和全年营业收入合计、建筑业总产值、</w:t>
      </w:r>
      <w:r w:rsidRPr="006D0202">
        <w:rPr>
          <w:rFonts w:ascii="楷体_GB2312" w:eastAsia="楷体_GB2312" w:hint="eastAsia"/>
          <w:color w:val="000000"/>
          <w:kern w:val="0"/>
          <w:sz w:val="32"/>
          <w:szCs w:val="32"/>
        </w:rPr>
        <w:t>境外完成营业额等细化指标，详见申报表。</w:t>
      </w:r>
    </w:p>
    <w:p w:rsidR="00090AB6" w:rsidRPr="006D0202" w:rsidRDefault="00090AB6">
      <w:pPr>
        <w:widowControl/>
        <w:ind w:firstLine="570"/>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 xml:space="preserve"> 第九条  江苏省建筑业最具成长性百强企业按成长性指数总分值排名。成长性指数评价共分经营规模、资产规模、盈利能力、上缴</w:t>
      </w:r>
      <w:r w:rsidR="00BD78FB" w:rsidRPr="006D0202">
        <w:rPr>
          <w:rFonts w:ascii="楷体_GB2312" w:eastAsia="楷体_GB2312" w:hint="eastAsia"/>
          <w:color w:val="000000"/>
          <w:kern w:val="0"/>
          <w:sz w:val="32"/>
          <w:szCs w:val="32"/>
        </w:rPr>
        <w:t>增值税</w:t>
      </w:r>
      <w:r w:rsidRPr="006D0202">
        <w:rPr>
          <w:rFonts w:ascii="楷体_GB2312" w:eastAsia="楷体_GB2312" w:hint="eastAsia"/>
          <w:color w:val="000000"/>
          <w:kern w:val="0"/>
          <w:sz w:val="32"/>
          <w:szCs w:val="32"/>
        </w:rPr>
        <w:t>、科技进步、管理水平、精神文明</w:t>
      </w:r>
      <w:r w:rsidR="002B2762" w:rsidRPr="006D0202">
        <w:rPr>
          <w:rFonts w:ascii="楷体_GB2312" w:eastAsia="楷体_GB2312" w:hint="eastAsia"/>
          <w:color w:val="000000"/>
          <w:kern w:val="0"/>
          <w:sz w:val="32"/>
          <w:szCs w:val="32"/>
        </w:rPr>
        <w:t>等7</w:t>
      </w:r>
      <w:r w:rsidRPr="006D0202">
        <w:rPr>
          <w:rFonts w:ascii="楷体_GB2312" w:eastAsia="楷体_GB2312" w:hint="eastAsia"/>
          <w:color w:val="000000"/>
          <w:kern w:val="0"/>
          <w:sz w:val="32"/>
          <w:szCs w:val="32"/>
        </w:rPr>
        <w:t>项分类指标和全年营业收入合计、建筑业总产值、在外省完成的产值等细化指标，详见申报表。</w:t>
      </w:r>
    </w:p>
    <w:p w:rsidR="00090AB6" w:rsidRPr="006D0202" w:rsidRDefault="00090AB6">
      <w:pPr>
        <w:widowControl/>
        <w:ind w:firstLine="570"/>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 xml:space="preserve"> 第十条  在评价年度</w:t>
      </w:r>
      <w:r w:rsidR="00D515E1" w:rsidRPr="006D0202">
        <w:rPr>
          <w:rFonts w:ascii="楷体_GB2312" w:eastAsia="楷体_GB2312" w:hint="eastAsia"/>
          <w:color w:val="000000"/>
          <w:kern w:val="0"/>
          <w:sz w:val="32"/>
          <w:szCs w:val="32"/>
        </w:rPr>
        <w:t>至评价评审前</w:t>
      </w:r>
      <w:r w:rsidRPr="006D0202">
        <w:rPr>
          <w:rFonts w:ascii="楷体_GB2312" w:eastAsia="楷体_GB2312" w:hint="eastAsia"/>
          <w:color w:val="000000"/>
          <w:kern w:val="0"/>
          <w:sz w:val="32"/>
          <w:szCs w:val="32"/>
        </w:rPr>
        <w:t>，存在以下任何一种情节的企业不予参评：发生较大（含）以上安全事故的；发生</w:t>
      </w:r>
      <w:r w:rsidR="002B1097" w:rsidRPr="006D0202">
        <w:rPr>
          <w:rFonts w:ascii="楷体_GB2312" w:eastAsia="楷体_GB2312" w:hint="eastAsia"/>
          <w:color w:val="000000"/>
          <w:kern w:val="0"/>
          <w:sz w:val="32"/>
          <w:szCs w:val="32"/>
        </w:rPr>
        <w:t>重大</w:t>
      </w:r>
      <w:r w:rsidRPr="006D0202">
        <w:rPr>
          <w:rFonts w:ascii="楷体_GB2312" w:eastAsia="楷体_GB2312" w:hint="eastAsia"/>
          <w:color w:val="000000"/>
          <w:kern w:val="0"/>
          <w:sz w:val="32"/>
          <w:szCs w:val="32"/>
        </w:rPr>
        <w:t>质量事故的；发生恶意拖欠工人工资，</w:t>
      </w:r>
      <w:r w:rsidR="00D515E1" w:rsidRPr="006D0202">
        <w:rPr>
          <w:rFonts w:ascii="楷体_GB2312" w:eastAsia="楷体_GB2312" w:hint="eastAsia"/>
          <w:color w:val="000000"/>
          <w:kern w:val="0"/>
          <w:sz w:val="32"/>
          <w:szCs w:val="32"/>
        </w:rPr>
        <w:t>被主管部门通报，</w:t>
      </w:r>
      <w:r w:rsidRPr="006D0202">
        <w:rPr>
          <w:rFonts w:ascii="楷体_GB2312" w:eastAsia="楷体_GB2312" w:hint="eastAsia"/>
          <w:color w:val="000000"/>
          <w:kern w:val="0"/>
          <w:sz w:val="32"/>
          <w:szCs w:val="32"/>
        </w:rPr>
        <w:t>造</w:t>
      </w:r>
      <w:r w:rsidRPr="006D0202">
        <w:rPr>
          <w:rFonts w:ascii="楷体_GB2312" w:eastAsia="楷体_GB2312" w:hint="eastAsia"/>
          <w:color w:val="000000"/>
          <w:kern w:val="0"/>
          <w:sz w:val="32"/>
          <w:szCs w:val="32"/>
        </w:rPr>
        <w:lastRenderedPageBreak/>
        <w:t>成不良社会影响的；</w:t>
      </w:r>
      <w:r w:rsidR="00D515E1" w:rsidRPr="006D0202">
        <w:rPr>
          <w:rFonts w:ascii="楷体_GB2312" w:eastAsia="楷体_GB2312" w:hint="eastAsia"/>
          <w:color w:val="000000"/>
          <w:kern w:val="0"/>
          <w:sz w:val="32"/>
          <w:szCs w:val="32"/>
        </w:rPr>
        <w:t>存在严重不良失信行为，</w:t>
      </w:r>
      <w:r w:rsidRPr="006D0202">
        <w:rPr>
          <w:rFonts w:ascii="楷体_GB2312" w:eastAsia="楷体_GB2312" w:hint="eastAsia"/>
          <w:color w:val="000000"/>
          <w:kern w:val="0"/>
          <w:sz w:val="32"/>
          <w:szCs w:val="32"/>
        </w:rPr>
        <w:t>被省级以上主管部门通报</w:t>
      </w:r>
      <w:r w:rsidR="00D515E1" w:rsidRPr="006D0202">
        <w:rPr>
          <w:rFonts w:ascii="楷体_GB2312" w:eastAsia="楷体_GB2312" w:hint="eastAsia"/>
          <w:color w:val="000000"/>
          <w:kern w:val="0"/>
          <w:sz w:val="32"/>
          <w:szCs w:val="32"/>
        </w:rPr>
        <w:t>的</w:t>
      </w:r>
      <w:r w:rsidRPr="006D0202">
        <w:rPr>
          <w:rFonts w:ascii="楷体_GB2312" w:eastAsia="楷体_GB2312" w:hint="eastAsia"/>
          <w:color w:val="000000"/>
          <w:kern w:val="0"/>
          <w:sz w:val="32"/>
          <w:szCs w:val="32"/>
        </w:rPr>
        <w:t>；企业法人及经营层发生重大经济案件及其它违法行为的。</w:t>
      </w:r>
    </w:p>
    <w:p w:rsidR="002B2762" w:rsidRPr="006D0202" w:rsidRDefault="00090AB6" w:rsidP="002B2762">
      <w:pPr>
        <w:widowControl/>
        <w:numPr>
          <w:ilvl w:val="0"/>
          <w:numId w:val="1"/>
        </w:numPr>
        <w:spacing w:before="156" w:after="156"/>
        <w:jc w:val="center"/>
        <w:rPr>
          <w:rFonts w:ascii="楷体_GB2312" w:eastAsia="楷体_GB2312" w:hint="eastAsia"/>
          <w:b/>
          <w:color w:val="000000"/>
          <w:kern w:val="0"/>
          <w:sz w:val="32"/>
          <w:szCs w:val="32"/>
        </w:rPr>
      </w:pPr>
      <w:r w:rsidRPr="006D0202">
        <w:rPr>
          <w:rFonts w:ascii="楷体_GB2312" w:eastAsia="楷体_GB2312" w:hAnsi="方正黑体简体" w:hint="eastAsia"/>
          <w:b/>
          <w:color w:val="000000"/>
          <w:kern w:val="0"/>
          <w:sz w:val="32"/>
          <w:szCs w:val="32"/>
        </w:rPr>
        <w:t xml:space="preserve">申报工作 </w:t>
      </w:r>
    </w:p>
    <w:p w:rsidR="00090AB6" w:rsidRPr="006D0202" w:rsidRDefault="00090AB6" w:rsidP="002B2762">
      <w:pPr>
        <w:widowControl/>
        <w:spacing w:before="156" w:after="156"/>
        <w:ind w:firstLineChars="250" w:firstLine="800"/>
        <w:rPr>
          <w:rFonts w:ascii="楷体_GB2312" w:eastAsia="楷体_GB2312" w:hint="eastAsia"/>
          <w:b/>
          <w:color w:val="000000"/>
          <w:kern w:val="0"/>
          <w:sz w:val="32"/>
          <w:szCs w:val="32"/>
        </w:rPr>
      </w:pPr>
      <w:r w:rsidRPr="006D0202">
        <w:rPr>
          <w:rFonts w:ascii="楷体_GB2312" w:eastAsia="楷体_GB2312" w:hAnsi="方正黑体简体" w:hint="eastAsia"/>
          <w:color w:val="000000"/>
          <w:kern w:val="0"/>
          <w:sz w:val="32"/>
          <w:szCs w:val="32"/>
        </w:rPr>
        <w:t>第十一条</w:t>
      </w:r>
      <w:r w:rsidRPr="006D0202">
        <w:rPr>
          <w:rFonts w:ascii="楷体_GB2312" w:eastAsia="楷体_GB2312" w:hint="eastAsia"/>
          <w:color w:val="000000"/>
          <w:kern w:val="0"/>
          <w:sz w:val="32"/>
          <w:szCs w:val="32"/>
        </w:rPr>
        <w:t xml:space="preserve">  本会会员企业自愿申报参评江苏省建筑业“双百强”企业，</w:t>
      </w:r>
      <w:r w:rsidR="00D515E1" w:rsidRPr="006D0202">
        <w:rPr>
          <w:rFonts w:ascii="楷体_GB2312" w:eastAsia="楷体_GB2312" w:hint="eastAsia"/>
          <w:color w:val="000000"/>
          <w:kern w:val="0"/>
          <w:sz w:val="32"/>
          <w:szCs w:val="32"/>
        </w:rPr>
        <w:t>须</w:t>
      </w:r>
      <w:r w:rsidRPr="006D0202">
        <w:rPr>
          <w:rFonts w:ascii="楷体_GB2312" w:eastAsia="楷体_GB2312" w:hint="eastAsia"/>
          <w:color w:val="000000"/>
          <w:kern w:val="0"/>
          <w:sz w:val="32"/>
          <w:szCs w:val="32"/>
        </w:rPr>
        <w:t>经企业法定代表人</w:t>
      </w:r>
      <w:r w:rsidR="002B2762" w:rsidRPr="006D0202">
        <w:rPr>
          <w:rFonts w:ascii="楷体_GB2312" w:eastAsia="楷体_GB2312" w:hint="eastAsia"/>
          <w:b/>
          <w:color w:val="000000"/>
          <w:kern w:val="0"/>
          <w:sz w:val="32"/>
          <w:szCs w:val="32"/>
          <w:u w:val="single"/>
        </w:rPr>
        <w:t>亲笔签名</w:t>
      </w:r>
      <w:r w:rsidRPr="006D0202">
        <w:rPr>
          <w:rFonts w:ascii="楷体_GB2312" w:eastAsia="楷体_GB2312" w:hint="eastAsia"/>
          <w:b/>
          <w:color w:val="000000"/>
          <w:kern w:val="0"/>
          <w:sz w:val="32"/>
          <w:szCs w:val="32"/>
          <w:u w:val="single"/>
        </w:rPr>
        <w:t>审核</w:t>
      </w:r>
      <w:r w:rsidR="00D515E1" w:rsidRPr="006D0202">
        <w:rPr>
          <w:rFonts w:ascii="楷体_GB2312" w:eastAsia="楷体_GB2312" w:hint="eastAsia"/>
          <w:b/>
          <w:color w:val="000000"/>
          <w:kern w:val="0"/>
          <w:sz w:val="32"/>
          <w:szCs w:val="32"/>
          <w:u w:val="single"/>
        </w:rPr>
        <w:t>，只盖印鉴章无效</w:t>
      </w:r>
      <w:r w:rsidRPr="006D0202">
        <w:rPr>
          <w:rFonts w:ascii="楷体_GB2312" w:eastAsia="楷体_GB2312" w:hint="eastAsia"/>
          <w:color w:val="000000"/>
          <w:kern w:val="0"/>
          <w:sz w:val="32"/>
          <w:szCs w:val="32"/>
        </w:rPr>
        <w:t>。</w:t>
      </w:r>
    </w:p>
    <w:p w:rsidR="00090AB6" w:rsidRPr="006D0202" w:rsidRDefault="00090AB6">
      <w:pPr>
        <w:widowControl/>
        <w:ind w:firstLine="570"/>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 xml:space="preserve"> 第十二条  本会省部属会员企业直接向省建筑行业协会申报；非直属会员企业由企业注册所在地的</w:t>
      </w:r>
      <w:r w:rsidR="002B2762" w:rsidRPr="006D0202">
        <w:rPr>
          <w:rFonts w:ascii="楷体_GB2312" w:eastAsia="楷体_GB2312" w:hint="eastAsia"/>
          <w:color w:val="000000"/>
          <w:kern w:val="0"/>
          <w:sz w:val="32"/>
          <w:szCs w:val="32"/>
        </w:rPr>
        <w:t>设区</w:t>
      </w:r>
      <w:r w:rsidRPr="006D0202">
        <w:rPr>
          <w:rFonts w:ascii="楷体_GB2312" w:eastAsia="楷体_GB2312" w:hint="eastAsia"/>
          <w:color w:val="000000"/>
          <w:kern w:val="0"/>
          <w:sz w:val="32"/>
          <w:szCs w:val="32"/>
        </w:rPr>
        <w:t>市建筑(行)业协会</w:t>
      </w:r>
      <w:r w:rsidR="006D7348" w:rsidRPr="006D0202">
        <w:rPr>
          <w:rFonts w:ascii="楷体_GB2312" w:eastAsia="楷体_GB2312" w:hint="eastAsia"/>
          <w:color w:val="000000"/>
          <w:kern w:val="0"/>
          <w:sz w:val="32"/>
          <w:szCs w:val="32"/>
        </w:rPr>
        <w:t>或有关专业分会</w:t>
      </w:r>
      <w:r w:rsidRPr="006D0202">
        <w:rPr>
          <w:rFonts w:ascii="楷体_GB2312" w:eastAsia="楷体_GB2312" w:hint="eastAsia"/>
          <w:color w:val="000000"/>
          <w:kern w:val="0"/>
          <w:sz w:val="32"/>
          <w:szCs w:val="32"/>
        </w:rPr>
        <w:t>按评价条件</w:t>
      </w:r>
      <w:r w:rsidR="002B1097" w:rsidRPr="006D0202">
        <w:rPr>
          <w:rFonts w:ascii="楷体_GB2312" w:eastAsia="楷体_GB2312" w:hint="eastAsia"/>
          <w:color w:val="000000"/>
          <w:kern w:val="0"/>
          <w:sz w:val="32"/>
          <w:szCs w:val="32"/>
        </w:rPr>
        <w:t>审核</w:t>
      </w:r>
      <w:r w:rsidRPr="006D0202">
        <w:rPr>
          <w:rFonts w:ascii="楷体_GB2312" w:eastAsia="楷体_GB2312" w:hint="eastAsia"/>
          <w:color w:val="000000"/>
          <w:kern w:val="0"/>
          <w:sz w:val="32"/>
          <w:szCs w:val="32"/>
        </w:rPr>
        <w:t>推荐。</w:t>
      </w:r>
    </w:p>
    <w:p w:rsidR="00090AB6" w:rsidRPr="006D0202" w:rsidRDefault="00090AB6">
      <w:pPr>
        <w:widowControl/>
        <w:ind w:firstLine="570"/>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第十三条  申报单位须按规定同时进行网上申报和书面申报。</w:t>
      </w:r>
    </w:p>
    <w:p w:rsidR="00090AB6" w:rsidRPr="006D0202" w:rsidRDefault="00090AB6">
      <w:pPr>
        <w:widowControl/>
        <w:spacing w:before="156" w:after="156"/>
        <w:jc w:val="center"/>
        <w:rPr>
          <w:rFonts w:ascii="楷体_GB2312" w:eastAsia="楷体_GB2312" w:hint="eastAsia"/>
          <w:b/>
          <w:bCs/>
          <w:color w:val="000000"/>
          <w:kern w:val="0"/>
          <w:sz w:val="32"/>
          <w:szCs w:val="32"/>
        </w:rPr>
      </w:pPr>
      <w:r w:rsidRPr="006D0202">
        <w:rPr>
          <w:rFonts w:ascii="楷体_GB2312" w:eastAsia="楷体_GB2312" w:hAnsi="方正黑体简体" w:hint="eastAsia"/>
          <w:b/>
          <w:color w:val="000000"/>
          <w:kern w:val="0"/>
          <w:sz w:val="32"/>
          <w:szCs w:val="32"/>
        </w:rPr>
        <w:t>第五章  评价组织和程序</w:t>
      </w:r>
    </w:p>
    <w:p w:rsidR="00090AB6" w:rsidRPr="006D0202" w:rsidRDefault="00090AB6">
      <w:pPr>
        <w:widowControl/>
        <w:rPr>
          <w:rFonts w:ascii="楷体_GB2312" w:eastAsia="楷体_GB2312" w:hint="eastAsia"/>
          <w:color w:val="000000"/>
          <w:kern w:val="0"/>
          <w:sz w:val="32"/>
          <w:szCs w:val="32"/>
        </w:rPr>
      </w:pPr>
      <w:r w:rsidRPr="006D0202">
        <w:rPr>
          <w:rFonts w:ascii="楷体_GB2312" w:eastAsia="楷体_GB2312" w:hint="eastAsia"/>
          <w:b/>
          <w:bCs/>
          <w:color w:val="000000"/>
          <w:kern w:val="0"/>
          <w:sz w:val="32"/>
          <w:szCs w:val="32"/>
        </w:rPr>
        <w:t xml:space="preserve">  </w:t>
      </w:r>
      <w:r w:rsidRPr="006D0202">
        <w:rPr>
          <w:rFonts w:ascii="楷体_GB2312" w:eastAsia="楷体_GB2312" w:hAnsi="方正黑体简体" w:hint="eastAsia"/>
          <w:color w:val="000000"/>
          <w:kern w:val="0"/>
          <w:sz w:val="32"/>
          <w:szCs w:val="32"/>
        </w:rPr>
        <w:t xml:space="preserve"> </w:t>
      </w:r>
      <w:r w:rsidRPr="006D0202">
        <w:rPr>
          <w:rFonts w:ascii="楷体_GB2312" w:eastAsia="楷体_GB2312" w:hint="eastAsia"/>
          <w:color w:val="000000"/>
          <w:kern w:val="0"/>
          <w:sz w:val="32"/>
          <w:szCs w:val="32"/>
        </w:rPr>
        <w:t xml:space="preserve"> </w:t>
      </w:r>
      <w:r w:rsidRPr="006D0202">
        <w:rPr>
          <w:rFonts w:ascii="楷体_GB2312" w:eastAsia="楷体_GB2312" w:hAnsi="方正黑体简体" w:hint="eastAsia"/>
          <w:color w:val="000000"/>
          <w:kern w:val="0"/>
          <w:sz w:val="32"/>
          <w:szCs w:val="32"/>
        </w:rPr>
        <w:t xml:space="preserve">第十四条 </w:t>
      </w:r>
      <w:r w:rsidRPr="006D0202">
        <w:rPr>
          <w:rFonts w:ascii="楷体_GB2312" w:eastAsia="楷体_GB2312" w:hint="eastAsia"/>
          <w:color w:val="000000"/>
          <w:kern w:val="0"/>
          <w:sz w:val="32"/>
          <w:szCs w:val="32"/>
        </w:rPr>
        <w:t xml:space="preserve"> </w:t>
      </w:r>
      <w:r w:rsidR="00D9751F">
        <w:rPr>
          <w:rFonts w:ascii="楷体_GB2312" w:eastAsia="楷体_GB2312" w:hint="eastAsia"/>
          <w:color w:val="000000"/>
          <w:kern w:val="0"/>
          <w:sz w:val="32"/>
          <w:szCs w:val="32"/>
        </w:rPr>
        <w:t>江苏省建筑业“双百强”企业评价</w:t>
      </w:r>
      <w:r w:rsidRPr="006D0202">
        <w:rPr>
          <w:rFonts w:ascii="楷体_GB2312" w:eastAsia="楷体_GB2312" w:hint="eastAsia"/>
          <w:color w:val="000000"/>
          <w:kern w:val="0"/>
          <w:sz w:val="32"/>
          <w:szCs w:val="32"/>
        </w:rPr>
        <w:t>委员会原则上由江苏省建筑行业协会常务理事和有关业务部门人员及有关专家、学者组成。</w:t>
      </w:r>
    </w:p>
    <w:p w:rsidR="00090AB6" w:rsidRPr="006D0202" w:rsidRDefault="00090AB6">
      <w:pPr>
        <w:widowControl/>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 xml:space="preserve">    第十五条  </w:t>
      </w:r>
      <w:r w:rsidR="00D9751F">
        <w:rPr>
          <w:rFonts w:ascii="楷体_GB2312" w:eastAsia="楷体_GB2312" w:hint="eastAsia"/>
          <w:color w:val="000000"/>
          <w:kern w:val="0"/>
          <w:sz w:val="32"/>
          <w:szCs w:val="32"/>
        </w:rPr>
        <w:t>评价</w:t>
      </w:r>
      <w:r w:rsidRPr="006D0202">
        <w:rPr>
          <w:rFonts w:ascii="楷体_GB2312" w:eastAsia="楷体_GB2312" w:hint="eastAsia"/>
          <w:color w:val="000000"/>
          <w:kern w:val="0"/>
          <w:sz w:val="32"/>
          <w:szCs w:val="32"/>
        </w:rPr>
        <w:t>委员会下设办公室，设在江苏省建筑行业协会秘书处。</w:t>
      </w:r>
    </w:p>
    <w:p w:rsidR="00090AB6" w:rsidRPr="006D0202" w:rsidRDefault="00090AB6">
      <w:pPr>
        <w:widowControl/>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 xml:space="preserve">    第十六条  </w:t>
      </w:r>
      <w:r w:rsidR="00D9751F">
        <w:rPr>
          <w:rFonts w:ascii="楷体_GB2312" w:eastAsia="楷体_GB2312" w:hint="eastAsia"/>
          <w:color w:val="000000"/>
          <w:kern w:val="0"/>
          <w:sz w:val="32"/>
          <w:szCs w:val="32"/>
        </w:rPr>
        <w:t>申报完成后，评价</w:t>
      </w:r>
      <w:r w:rsidR="00635774" w:rsidRPr="006D0202">
        <w:rPr>
          <w:rFonts w:ascii="楷体_GB2312" w:eastAsia="楷体_GB2312" w:hint="eastAsia"/>
          <w:color w:val="000000"/>
          <w:kern w:val="0"/>
          <w:sz w:val="32"/>
          <w:szCs w:val="32"/>
        </w:rPr>
        <w:t>委员会办公室将申报企业及申报数据在“江苏建筑业网”上公示，公示期为7天。并组织专</w:t>
      </w:r>
      <w:r w:rsidR="00635774" w:rsidRPr="006D0202">
        <w:rPr>
          <w:rFonts w:ascii="楷体_GB2312" w:eastAsia="楷体_GB2312" w:hint="eastAsia"/>
          <w:color w:val="000000"/>
          <w:kern w:val="0"/>
          <w:sz w:val="32"/>
          <w:szCs w:val="32"/>
        </w:rPr>
        <w:lastRenderedPageBreak/>
        <w:t>家</w:t>
      </w:r>
      <w:r w:rsidRPr="006D0202">
        <w:rPr>
          <w:rFonts w:ascii="楷体_GB2312" w:eastAsia="楷体_GB2312" w:hint="eastAsia"/>
          <w:color w:val="000000"/>
          <w:kern w:val="0"/>
          <w:sz w:val="32"/>
          <w:szCs w:val="32"/>
        </w:rPr>
        <w:t>对申报材料</w:t>
      </w:r>
      <w:r w:rsidR="00635774" w:rsidRPr="006D0202">
        <w:rPr>
          <w:rFonts w:ascii="楷体_GB2312" w:eastAsia="楷体_GB2312" w:hint="eastAsia"/>
          <w:color w:val="000000"/>
          <w:kern w:val="0"/>
          <w:sz w:val="32"/>
          <w:szCs w:val="32"/>
        </w:rPr>
        <w:t>进行</w:t>
      </w:r>
      <w:r w:rsidRPr="006D0202">
        <w:rPr>
          <w:rFonts w:ascii="楷体_GB2312" w:eastAsia="楷体_GB2312" w:hint="eastAsia"/>
          <w:color w:val="000000"/>
          <w:kern w:val="0"/>
          <w:sz w:val="32"/>
          <w:szCs w:val="32"/>
        </w:rPr>
        <w:t>核查</w:t>
      </w:r>
      <w:r w:rsidR="00635774" w:rsidRPr="006D0202">
        <w:rPr>
          <w:rFonts w:ascii="楷体_GB2312" w:eastAsia="楷体_GB2312" w:hint="eastAsia"/>
          <w:color w:val="000000"/>
          <w:kern w:val="0"/>
          <w:sz w:val="32"/>
          <w:szCs w:val="32"/>
        </w:rPr>
        <w:t>、</w:t>
      </w:r>
      <w:r w:rsidRPr="006D0202">
        <w:rPr>
          <w:rFonts w:ascii="楷体_GB2312" w:eastAsia="楷体_GB2312" w:hint="eastAsia"/>
          <w:color w:val="000000"/>
          <w:kern w:val="0"/>
          <w:sz w:val="32"/>
          <w:szCs w:val="32"/>
        </w:rPr>
        <w:t>初审。</w:t>
      </w:r>
      <w:r w:rsidR="00635774" w:rsidRPr="006D0202">
        <w:rPr>
          <w:rFonts w:ascii="楷体_GB2312" w:eastAsia="楷体_GB2312" w:hint="eastAsia"/>
          <w:color w:val="000000"/>
          <w:kern w:val="0"/>
          <w:sz w:val="32"/>
          <w:szCs w:val="32"/>
        </w:rPr>
        <w:t>公示、核查后对申报数据进行</w:t>
      </w:r>
      <w:r w:rsidRPr="006D0202">
        <w:rPr>
          <w:rFonts w:ascii="楷体_GB2312" w:eastAsia="楷体_GB2312" w:hint="eastAsia"/>
          <w:color w:val="000000"/>
          <w:kern w:val="0"/>
          <w:sz w:val="32"/>
          <w:szCs w:val="32"/>
        </w:rPr>
        <w:t>计分</w:t>
      </w:r>
      <w:r w:rsidR="00FF29F8" w:rsidRPr="006D0202">
        <w:rPr>
          <w:rFonts w:ascii="楷体_GB2312" w:eastAsia="楷体_GB2312" w:hint="eastAsia"/>
          <w:color w:val="000000"/>
          <w:kern w:val="0"/>
          <w:sz w:val="32"/>
          <w:szCs w:val="32"/>
        </w:rPr>
        <w:t>、排名</w:t>
      </w:r>
      <w:r w:rsidR="00635774" w:rsidRPr="006D0202">
        <w:rPr>
          <w:rFonts w:ascii="楷体_GB2312" w:eastAsia="楷体_GB2312" w:hint="eastAsia"/>
          <w:color w:val="000000"/>
          <w:kern w:val="0"/>
          <w:sz w:val="32"/>
          <w:szCs w:val="32"/>
        </w:rPr>
        <w:t>，</w:t>
      </w:r>
      <w:r w:rsidRPr="006D0202">
        <w:rPr>
          <w:rFonts w:ascii="楷体_GB2312" w:eastAsia="楷体_GB2312" w:hint="eastAsia"/>
          <w:color w:val="000000"/>
          <w:kern w:val="0"/>
          <w:sz w:val="32"/>
          <w:szCs w:val="32"/>
        </w:rPr>
        <w:t>提出初审情况报告。</w:t>
      </w:r>
    </w:p>
    <w:p w:rsidR="00090AB6" w:rsidRPr="006D0202" w:rsidRDefault="00090AB6">
      <w:pPr>
        <w:widowControl/>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 xml:space="preserve">  </w:t>
      </w:r>
      <w:r w:rsidRPr="006D0202">
        <w:rPr>
          <w:rFonts w:ascii="楷体_GB2312" w:eastAsia="楷体_GB2312" w:hAnsi="方正黑体简体" w:hint="eastAsia"/>
          <w:color w:val="000000"/>
          <w:kern w:val="0"/>
          <w:sz w:val="32"/>
          <w:szCs w:val="32"/>
        </w:rPr>
        <w:t xml:space="preserve"> </w:t>
      </w:r>
      <w:r w:rsidRPr="006D0202">
        <w:rPr>
          <w:rFonts w:ascii="楷体_GB2312" w:eastAsia="楷体_GB2312" w:hint="eastAsia"/>
          <w:color w:val="000000"/>
          <w:kern w:val="0"/>
          <w:sz w:val="32"/>
          <w:szCs w:val="32"/>
        </w:rPr>
        <w:t xml:space="preserve"> </w:t>
      </w:r>
      <w:r w:rsidRPr="006D0202">
        <w:rPr>
          <w:rFonts w:ascii="楷体_GB2312" w:eastAsia="楷体_GB2312" w:hAnsi="方正黑体简体" w:hint="eastAsia"/>
          <w:color w:val="000000"/>
          <w:kern w:val="0"/>
          <w:sz w:val="32"/>
          <w:szCs w:val="32"/>
        </w:rPr>
        <w:t xml:space="preserve">第十七条  </w:t>
      </w:r>
      <w:r w:rsidR="00D9751F">
        <w:rPr>
          <w:rFonts w:ascii="楷体_GB2312" w:eastAsia="楷体_GB2312" w:hint="eastAsia"/>
          <w:color w:val="000000"/>
          <w:kern w:val="0"/>
          <w:sz w:val="32"/>
          <w:szCs w:val="32"/>
        </w:rPr>
        <w:t>江苏省建筑业“双百强”企业评价</w:t>
      </w:r>
      <w:r w:rsidRPr="006D0202">
        <w:rPr>
          <w:rFonts w:ascii="楷体_GB2312" w:eastAsia="楷体_GB2312" w:hint="eastAsia"/>
          <w:color w:val="000000"/>
          <w:kern w:val="0"/>
          <w:sz w:val="32"/>
          <w:szCs w:val="32"/>
        </w:rPr>
        <w:t>委员会根据申报材料和初审情况报告，进行综合评审，确定该年度江苏省建筑业“双百强”企业的名单和</w:t>
      </w:r>
      <w:r w:rsidR="00635774" w:rsidRPr="006D0202">
        <w:rPr>
          <w:rFonts w:ascii="楷体_GB2312" w:eastAsia="楷体_GB2312" w:hint="eastAsia"/>
          <w:color w:val="000000"/>
          <w:kern w:val="0"/>
          <w:sz w:val="32"/>
          <w:szCs w:val="32"/>
        </w:rPr>
        <w:t>排名</w:t>
      </w:r>
      <w:r w:rsidRPr="006D0202">
        <w:rPr>
          <w:rFonts w:ascii="楷体_GB2312" w:eastAsia="楷体_GB2312" w:hint="eastAsia"/>
          <w:color w:val="000000"/>
          <w:kern w:val="0"/>
          <w:sz w:val="32"/>
          <w:szCs w:val="32"/>
        </w:rPr>
        <w:t>顺序。</w:t>
      </w:r>
    </w:p>
    <w:p w:rsidR="00090AB6" w:rsidRPr="006D0202" w:rsidRDefault="00090AB6">
      <w:pPr>
        <w:widowControl/>
        <w:rPr>
          <w:rFonts w:ascii="楷体_GB2312" w:eastAsia="楷体_GB2312" w:hint="eastAsia"/>
          <w:color w:val="000000"/>
          <w:kern w:val="0"/>
          <w:sz w:val="32"/>
          <w:szCs w:val="32"/>
        </w:rPr>
      </w:pPr>
      <w:r w:rsidRPr="006D0202">
        <w:rPr>
          <w:rFonts w:ascii="楷体_GB2312" w:eastAsia="楷体_GB2312" w:hAnsi="方正黑体简体" w:hint="eastAsia"/>
          <w:color w:val="000000"/>
          <w:kern w:val="0"/>
          <w:sz w:val="32"/>
          <w:szCs w:val="32"/>
        </w:rPr>
        <w:t xml:space="preserve">    第十八条</w:t>
      </w:r>
      <w:r w:rsidRPr="006D0202">
        <w:rPr>
          <w:rFonts w:ascii="楷体_GB2312" w:eastAsia="楷体_GB2312" w:hint="eastAsia"/>
          <w:color w:val="000000"/>
          <w:kern w:val="0"/>
          <w:sz w:val="32"/>
          <w:szCs w:val="32"/>
        </w:rPr>
        <w:t xml:space="preserve">  江苏省建筑行业协会组织召开“双百强”企业发布会，并对获评企业在“江苏建筑业网”和有关媒体上进行</w:t>
      </w:r>
      <w:r w:rsidR="00D515E1" w:rsidRPr="006D0202">
        <w:rPr>
          <w:rFonts w:ascii="楷体_GB2312" w:eastAsia="楷体_GB2312" w:hint="eastAsia"/>
          <w:color w:val="000000"/>
          <w:kern w:val="0"/>
          <w:sz w:val="32"/>
          <w:szCs w:val="32"/>
        </w:rPr>
        <w:t>发</w:t>
      </w:r>
      <w:r w:rsidRPr="006D0202">
        <w:rPr>
          <w:rFonts w:ascii="楷体_GB2312" w:eastAsia="楷体_GB2312" w:hint="eastAsia"/>
          <w:color w:val="000000"/>
          <w:kern w:val="0"/>
          <w:sz w:val="32"/>
          <w:szCs w:val="32"/>
        </w:rPr>
        <w:t xml:space="preserve">布和宣传。 </w:t>
      </w:r>
    </w:p>
    <w:p w:rsidR="00090AB6" w:rsidRPr="006D0202" w:rsidRDefault="00090AB6">
      <w:pPr>
        <w:widowControl/>
        <w:spacing w:before="156" w:after="156"/>
        <w:jc w:val="center"/>
        <w:rPr>
          <w:rFonts w:ascii="楷体_GB2312" w:eastAsia="楷体_GB2312" w:hint="eastAsia"/>
          <w:b/>
          <w:bCs/>
          <w:color w:val="000000"/>
          <w:kern w:val="0"/>
          <w:sz w:val="32"/>
          <w:szCs w:val="32"/>
        </w:rPr>
      </w:pPr>
      <w:r w:rsidRPr="006D0202">
        <w:rPr>
          <w:rFonts w:ascii="楷体_GB2312" w:eastAsia="楷体_GB2312" w:hAnsi="方正黑体简体" w:hint="eastAsia"/>
          <w:b/>
          <w:color w:val="000000"/>
          <w:kern w:val="0"/>
          <w:sz w:val="32"/>
          <w:szCs w:val="32"/>
        </w:rPr>
        <w:t>第六章  评价工作纪律</w:t>
      </w:r>
    </w:p>
    <w:p w:rsidR="00090AB6" w:rsidRPr="006D0202" w:rsidRDefault="00090AB6">
      <w:pPr>
        <w:widowControl/>
        <w:rPr>
          <w:rFonts w:ascii="楷体_GB2312" w:eastAsia="楷体_GB2312" w:hint="eastAsia"/>
          <w:color w:val="000000"/>
          <w:kern w:val="0"/>
          <w:sz w:val="32"/>
          <w:szCs w:val="32"/>
        </w:rPr>
      </w:pPr>
      <w:r w:rsidRPr="006D0202">
        <w:rPr>
          <w:rFonts w:ascii="楷体_GB2312" w:eastAsia="楷体_GB2312" w:hAnsi="方正黑体简体" w:hint="eastAsia"/>
          <w:color w:val="000000"/>
          <w:kern w:val="0"/>
          <w:sz w:val="32"/>
          <w:szCs w:val="32"/>
        </w:rPr>
        <w:t xml:space="preserve">    第十九条</w:t>
      </w:r>
      <w:r w:rsidRPr="006D0202">
        <w:rPr>
          <w:rFonts w:ascii="楷体_GB2312" w:eastAsia="楷体_GB2312" w:hint="eastAsia"/>
          <w:color w:val="000000"/>
          <w:kern w:val="0"/>
          <w:sz w:val="32"/>
          <w:szCs w:val="32"/>
        </w:rPr>
        <w:t xml:space="preserve">  申报单位相关人员要按照省协会规定的统一口径，认真负责、真实准确地填报数据。申报单位负责人要严格</w:t>
      </w:r>
      <w:r w:rsidR="002B1097" w:rsidRPr="006D0202">
        <w:rPr>
          <w:rFonts w:ascii="楷体_GB2312" w:eastAsia="楷体_GB2312" w:hint="eastAsia"/>
          <w:color w:val="000000"/>
          <w:kern w:val="0"/>
          <w:sz w:val="32"/>
          <w:szCs w:val="32"/>
        </w:rPr>
        <w:t>把关，认真</w:t>
      </w:r>
      <w:r w:rsidRPr="006D0202">
        <w:rPr>
          <w:rFonts w:ascii="楷体_GB2312" w:eastAsia="楷体_GB2312" w:hint="eastAsia"/>
          <w:color w:val="000000"/>
          <w:kern w:val="0"/>
          <w:sz w:val="32"/>
          <w:szCs w:val="32"/>
        </w:rPr>
        <w:t>审核签发申报材料，</w:t>
      </w:r>
      <w:r w:rsidR="002B1097" w:rsidRPr="006D0202">
        <w:rPr>
          <w:rFonts w:ascii="楷体_GB2312" w:eastAsia="楷体_GB2312" w:hint="eastAsia"/>
          <w:color w:val="000000"/>
          <w:kern w:val="0"/>
          <w:sz w:val="32"/>
          <w:szCs w:val="32"/>
        </w:rPr>
        <w:t>确保申报质量。杜绝任何形式的</w:t>
      </w:r>
      <w:r w:rsidRPr="006D0202">
        <w:rPr>
          <w:rFonts w:ascii="楷体_GB2312" w:eastAsia="楷体_GB2312" w:hint="eastAsia"/>
          <w:color w:val="000000"/>
          <w:kern w:val="0"/>
          <w:sz w:val="32"/>
          <w:szCs w:val="32"/>
        </w:rPr>
        <w:t>弄虚作假</w:t>
      </w:r>
      <w:r w:rsidR="002B1097" w:rsidRPr="006D0202">
        <w:rPr>
          <w:rFonts w:ascii="楷体_GB2312" w:eastAsia="楷体_GB2312" w:hint="eastAsia"/>
          <w:color w:val="000000"/>
          <w:kern w:val="0"/>
          <w:sz w:val="32"/>
          <w:szCs w:val="32"/>
        </w:rPr>
        <w:t>、徇私舞弊现象，确保评价工作的严肃性、权威性和公正性。违反者，一经查实将给予批评警告、直至撤销评价资格</w:t>
      </w:r>
      <w:r w:rsidRPr="006D0202">
        <w:rPr>
          <w:rFonts w:ascii="楷体_GB2312" w:eastAsia="楷体_GB2312" w:hint="eastAsia"/>
          <w:color w:val="000000"/>
          <w:kern w:val="0"/>
          <w:sz w:val="32"/>
          <w:szCs w:val="32"/>
        </w:rPr>
        <w:t>。</w:t>
      </w:r>
    </w:p>
    <w:p w:rsidR="00090AB6" w:rsidRPr="006D0202" w:rsidRDefault="00090AB6">
      <w:pPr>
        <w:widowControl/>
        <w:rPr>
          <w:rFonts w:ascii="楷体_GB2312" w:eastAsia="楷体_GB2312" w:hint="eastAsia"/>
          <w:color w:val="000000"/>
          <w:kern w:val="0"/>
          <w:sz w:val="32"/>
          <w:szCs w:val="32"/>
        </w:rPr>
      </w:pPr>
      <w:r w:rsidRPr="006D0202">
        <w:rPr>
          <w:rFonts w:ascii="楷体_GB2312" w:eastAsia="楷体_GB2312" w:hint="eastAsia"/>
          <w:color w:val="000000"/>
          <w:kern w:val="0"/>
          <w:sz w:val="32"/>
          <w:szCs w:val="32"/>
        </w:rPr>
        <w:t xml:space="preserve">    第二十条  </w:t>
      </w:r>
      <w:r w:rsidR="00D9751F">
        <w:rPr>
          <w:rFonts w:ascii="楷体_GB2312" w:eastAsia="楷体_GB2312" w:hint="eastAsia"/>
          <w:color w:val="000000"/>
          <w:kern w:val="0"/>
          <w:sz w:val="32"/>
          <w:szCs w:val="32"/>
        </w:rPr>
        <w:t>评价</w:t>
      </w:r>
      <w:r w:rsidRPr="006D0202">
        <w:rPr>
          <w:rFonts w:ascii="楷体_GB2312" w:eastAsia="楷体_GB2312" w:hint="eastAsia"/>
          <w:color w:val="000000"/>
          <w:kern w:val="0"/>
          <w:sz w:val="32"/>
          <w:szCs w:val="32"/>
        </w:rPr>
        <w:t>委员会成员</w:t>
      </w:r>
      <w:r w:rsidR="00D9751F">
        <w:rPr>
          <w:rFonts w:ascii="楷体_GB2312" w:eastAsia="楷体_GB2312" w:hint="eastAsia"/>
          <w:color w:val="000000"/>
          <w:kern w:val="0"/>
          <w:sz w:val="32"/>
          <w:szCs w:val="32"/>
        </w:rPr>
        <w:t>及其</w:t>
      </w:r>
      <w:r w:rsidRPr="006D0202">
        <w:rPr>
          <w:rFonts w:ascii="楷体_GB2312" w:eastAsia="楷体_GB2312" w:hint="eastAsia"/>
          <w:color w:val="000000"/>
          <w:kern w:val="0"/>
          <w:sz w:val="32"/>
          <w:szCs w:val="32"/>
        </w:rPr>
        <w:t>办公室工作人员</w:t>
      </w:r>
      <w:r w:rsidR="002B1097" w:rsidRPr="006D0202">
        <w:rPr>
          <w:rFonts w:ascii="楷体_GB2312" w:eastAsia="楷体_GB2312" w:hint="eastAsia"/>
          <w:color w:val="000000"/>
          <w:kern w:val="0"/>
          <w:sz w:val="32"/>
          <w:szCs w:val="32"/>
        </w:rPr>
        <w:t>务必</w:t>
      </w:r>
      <w:r w:rsidRPr="006D0202">
        <w:rPr>
          <w:rFonts w:ascii="楷体_GB2312" w:eastAsia="楷体_GB2312" w:hint="eastAsia"/>
          <w:color w:val="000000"/>
          <w:kern w:val="0"/>
          <w:sz w:val="32"/>
          <w:szCs w:val="32"/>
        </w:rPr>
        <w:t>秉公办事，严格执行评价标准和有关规定，严</w:t>
      </w:r>
      <w:r w:rsidR="002B1097" w:rsidRPr="006D0202">
        <w:rPr>
          <w:rFonts w:ascii="楷体_GB2312" w:eastAsia="楷体_GB2312" w:hint="eastAsia"/>
          <w:color w:val="000000"/>
          <w:kern w:val="0"/>
          <w:sz w:val="32"/>
          <w:szCs w:val="32"/>
        </w:rPr>
        <w:t>格遵</w:t>
      </w:r>
      <w:r w:rsidRPr="006D0202">
        <w:rPr>
          <w:rFonts w:ascii="楷体_GB2312" w:eastAsia="楷体_GB2312" w:hint="eastAsia"/>
          <w:color w:val="000000"/>
          <w:kern w:val="0"/>
          <w:sz w:val="32"/>
          <w:szCs w:val="32"/>
        </w:rPr>
        <w:t>守纪律，自觉抵制不正之风。对违</w:t>
      </w:r>
      <w:r w:rsidR="002B1097" w:rsidRPr="006D0202">
        <w:rPr>
          <w:rFonts w:ascii="楷体_GB2312" w:eastAsia="楷体_GB2312" w:hint="eastAsia"/>
          <w:color w:val="000000"/>
          <w:kern w:val="0"/>
          <w:sz w:val="32"/>
          <w:szCs w:val="32"/>
        </w:rPr>
        <w:t>反</w:t>
      </w:r>
      <w:r w:rsidRPr="006D0202">
        <w:rPr>
          <w:rFonts w:ascii="楷体_GB2312" w:eastAsia="楷体_GB2312" w:hint="eastAsia"/>
          <w:color w:val="000000"/>
          <w:kern w:val="0"/>
          <w:sz w:val="32"/>
          <w:szCs w:val="32"/>
        </w:rPr>
        <w:t>者，视情节轻重，给予批评警告或撤销其评价资格。</w:t>
      </w:r>
    </w:p>
    <w:p w:rsidR="00090AB6" w:rsidRPr="006D0202" w:rsidRDefault="00090AB6">
      <w:pPr>
        <w:widowControl/>
        <w:spacing w:before="156" w:after="156"/>
        <w:jc w:val="center"/>
        <w:rPr>
          <w:rFonts w:ascii="楷体_GB2312" w:eastAsia="楷体_GB2312" w:hint="eastAsia"/>
          <w:b/>
          <w:bCs/>
          <w:color w:val="000000"/>
          <w:kern w:val="0"/>
          <w:sz w:val="32"/>
          <w:szCs w:val="32"/>
        </w:rPr>
      </w:pPr>
      <w:r w:rsidRPr="006D0202">
        <w:rPr>
          <w:rFonts w:ascii="楷体_GB2312" w:eastAsia="楷体_GB2312" w:hAnsi="方正黑体简体" w:hint="eastAsia"/>
          <w:b/>
          <w:color w:val="000000"/>
          <w:kern w:val="0"/>
          <w:sz w:val="32"/>
          <w:szCs w:val="32"/>
        </w:rPr>
        <w:t>第七章  附  则</w:t>
      </w:r>
    </w:p>
    <w:p w:rsidR="00090AB6" w:rsidRPr="006D0202" w:rsidRDefault="00090AB6" w:rsidP="002B2762">
      <w:pPr>
        <w:widowControl/>
        <w:ind w:firstLineChars="200" w:firstLine="640"/>
        <w:rPr>
          <w:rFonts w:ascii="仿宋_GB2312" w:eastAsia="仿宋_GB2312" w:hAnsi="仿宋_GB2312" w:cs="仿宋_GB2312" w:hint="eastAsia"/>
          <w:color w:val="000000"/>
          <w:kern w:val="0"/>
          <w:sz w:val="32"/>
          <w:szCs w:val="32"/>
        </w:rPr>
      </w:pPr>
      <w:r w:rsidRPr="006D0202">
        <w:rPr>
          <w:rFonts w:ascii="楷体_GB2312" w:eastAsia="楷体_GB2312" w:hAnsi="方正黑体简体" w:hint="eastAsia"/>
          <w:color w:val="000000"/>
          <w:kern w:val="0"/>
          <w:sz w:val="32"/>
          <w:szCs w:val="32"/>
        </w:rPr>
        <w:t xml:space="preserve">第二十一条 </w:t>
      </w:r>
      <w:r w:rsidRPr="006D0202">
        <w:rPr>
          <w:rFonts w:ascii="楷体_GB2312" w:eastAsia="楷体_GB2312" w:hint="eastAsia"/>
          <w:color w:val="000000"/>
          <w:kern w:val="0"/>
          <w:sz w:val="32"/>
          <w:szCs w:val="32"/>
        </w:rPr>
        <w:t xml:space="preserve"> 本办法由江苏省建筑行业协会负责解释。</w:t>
      </w:r>
    </w:p>
    <w:sectPr w:rsidR="00090AB6" w:rsidRPr="006D0202">
      <w:footerReference w:type="default" r:id="rId7"/>
      <w:pgSz w:w="11906" w:h="16838"/>
      <w:pgMar w:top="1246" w:right="1666" w:bottom="932" w:left="162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0C7" w:rsidRDefault="001E70C7">
      <w:r>
        <w:separator/>
      </w:r>
    </w:p>
  </w:endnote>
  <w:endnote w:type="continuationSeparator" w:id="1">
    <w:p w:rsidR="001E70C7" w:rsidRDefault="001E7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简体">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32" w:rsidRDefault="00436632">
    <w:pPr>
      <w:pStyle w:val="a5"/>
      <w:rPr>
        <w:rStyle w:val="a3"/>
      </w:rPr>
    </w:pPr>
  </w:p>
  <w:p w:rsidR="00436632" w:rsidRDefault="004366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0C7" w:rsidRDefault="001E70C7">
      <w:r>
        <w:separator/>
      </w:r>
    </w:p>
  </w:footnote>
  <w:footnote w:type="continuationSeparator" w:id="1">
    <w:p w:rsidR="001E70C7" w:rsidRDefault="001E7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7630"/>
    <w:multiLevelType w:val="hybridMultilevel"/>
    <w:tmpl w:val="49D26DC2"/>
    <w:lvl w:ilvl="0" w:tplc="79923F14">
      <w:start w:val="4"/>
      <w:numFmt w:val="japaneseCounting"/>
      <w:lvlText w:val="第%1章"/>
      <w:lvlJc w:val="left"/>
      <w:pPr>
        <w:tabs>
          <w:tab w:val="num" w:pos="1125"/>
        </w:tabs>
        <w:ind w:left="1125" w:hanging="1125"/>
      </w:pPr>
      <w:rPr>
        <w:rFonts w:hAnsi="方正黑体简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90AB6"/>
    <w:rsid w:val="000C71BC"/>
    <w:rsid w:val="001377D2"/>
    <w:rsid w:val="001E70C7"/>
    <w:rsid w:val="001F776F"/>
    <w:rsid w:val="002B1097"/>
    <w:rsid w:val="002B2762"/>
    <w:rsid w:val="00436632"/>
    <w:rsid w:val="004F78C0"/>
    <w:rsid w:val="00554729"/>
    <w:rsid w:val="00635774"/>
    <w:rsid w:val="00675A6B"/>
    <w:rsid w:val="006D0202"/>
    <w:rsid w:val="006D7348"/>
    <w:rsid w:val="00826C9A"/>
    <w:rsid w:val="009C481F"/>
    <w:rsid w:val="00AA4085"/>
    <w:rsid w:val="00AD59AA"/>
    <w:rsid w:val="00BD78FB"/>
    <w:rsid w:val="00C33BCF"/>
    <w:rsid w:val="00C72E55"/>
    <w:rsid w:val="00D3736C"/>
    <w:rsid w:val="00D43CFB"/>
    <w:rsid w:val="00D515E1"/>
    <w:rsid w:val="00D9751F"/>
    <w:rsid w:val="00DE0F9D"/>
    <w:rsid w:val="00EA71CA"/>
    <w:rsid w:val="00EC51CE"/>
    <w:rsid w:val="00EE6480"/>
    <w:rsid w:val="00F14E7A"/>
    <w:rsid w:val="00F166A2"/>
    <w:rsid w:val="00F22562"/>
    <w:rsid w:val="00F852E5"/>
    <w:rsid w:val="00FF29F8"/>
    <w:rsid w:val="5D9C00E5"/>
    <w:rsid w:val="77B22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customStyle="1" w:styleId="p0">
    <w:name w:val="p0"/>
    <w:basedOn w:val="a"/>
    <w:pPr>
      <w:widowControl/>
    </w:pPr>
    <w:rPr>
      <w:rFonts w:ascii="Calibri" w:hAnsi="Calibri" w:cs="宋体"/>
      <w:kern w:val="0"/>
      <w:szCs w:val="21"/>
    </w:rPr>
  </w:style>
  <w:style w:type="paragraph" w:styleId="a4">
    <w:name w:val="header"/>
    <w:basedOn w:val="a"/>
    <w:pPr>
      <w:pBdr>
        <w:bottom w:val="single" w:sz="6" w:space="2" w:color="auto"/>
      </w:pBdr>
      <w:tabs>
        <w:tab w:val="center" w:pos="4153"/>
        <w:tab w:val="right" w:pos="8306"/>
      </w:tabs>
      <w:snapToGrid w:val="0"/>
      <w:spacing w:after="120"/>
      <w:jc w:val="center"/>
    </w:pPr>
    <w:rPr>
      <w:rFonts w:ascii="Calibri" w:hAnsi="Calibri"/>
      <w:sz w:val="18"/>
      <w:szCs w:val="21"/>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sid w:val="00D9751F"/>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1551</Characters>
  <Application>Microsoft Office Word</Application>
  <DocSecurity>0</DocSecurity>
  <PresentationFormat/>
  <Lines>12</Lines>
  <Paragraphs>3</Paragraphs>
  <Slides>0</Slides>
  <Notes>0</Notes>
  <HiddenSlides>0</HiddenSlides>
  <MMClips>0</MMClips>
  <ScaleCrop>false</ScaleCrop>
  <Company>China</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江苏省建筑业“双百强”企业评选办法</dc:title>
  <dc:creator>User</dc:creator>
  <cp:lastModifiedBy>admin</cp:lastModifiedBy>
  <cp:revision>2</cp:revision>
  <cp:lastPrinted>2019-01-02T01:20:00Z</cp:lastPrinted>
  <dcterms:created xsi:type="dcterms:W3CDTF">2019-01-04T08:44:00Z</dcterms:created>
  <dcterms:modified xsi:type="dcterms:W3CDTF">2019-01-04T08:44:00Z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